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tbl>
      <w:tblPr>
        <w:tblW w:w="9632" w:type="dxa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7988"/>
        <w:gridCol w:w="1644"/>
      </w:tblGrid>
      <w:tr>
        <w:trPr/>
        <w:tc>
          <w:tcPr>
            <w:tcW w:w="7988" w:type="dxa"/>
            <w:tcBorders/>
          </w:tcPr>
          <w:p>
            <w:pPr>
              <w:pStyle w:val="LO-normal"/>
              <w:widowControl w:val="false"/>
              <w:spacing w:lineRule="auto" w:line="240"/>
              <w:jc w:val="center"/>
              <w:rPr>
                <w:rFonts w:ascii="Arial" w:hAnsi="Arial" w:eastAsia="Titillium Web" w:cs="Arial"/>
                <w:b/>
                <w:sz w:val="20"/>
                <w:szCs w:val="20"/>
              </w:rPr>
            </w:pPr>
            <w:r>
              <w:rPr>
                <w:rFonts w:eastAsia="Titillium Web" w:cs="Arial"/>
                <w:b/>
                <w:sz w:val="20"/>
                <w:szCs w:val="20"/>
              </w:rPr>
              <w:t xml:space="preserve">IFBA – Instituto Federal de Educação, Ciência e Tecnologia da Bahia </w:t>
            </w:r>
          </w:p>
          <w:p>
            <w:pPr>
              <w:pStyle w:val="LO-normal"/>
              <w:widowControl w:val="false"/>
              <w:spacing w:lineRule="auto" w:line="240"/>
              <w:jc w:val="center"/>
              <w:rPr>
                <w:rFonts w:ascii="Arial" w:hAnsi="Arial" w:eastAsia="Titillium Web" w:cs="Arial"/>
                <w:b/>
                <w:sz w:val="20"/>
                <w:szCs w:val="20"/>
              </w:rPr>
            </w:pPr>
            <w:r>
              <w:rPr>
                <w:rFonts w:eastAsia="Titillium Web" w:cs="Arial"/>
                <w:b/>
                <w:sz w:val="20"/>
                <w:szCs w:val="20"/>
              </w:rPr>
              <w:t>Departamento de Ciência da Computação</w:t>
            </w:r>
          </w:p>
          <w:p>
            <w:pPr>
              <w:pStyle w:val="LO-normal"/>
              <w:widowControl w:val="false"/>
              <w:spacing w:lineRule="auto" w:line="240"/>
              <w:jc w:val="center"/>
              <w:rPr>
                <w:rFonts w:ascii="Arial" w:hAnsi="Arial" w:eastAsia="Titillium Web" w:cs="Arial"/>
                <w:b/>
                <w:sz w:val="20"/>
                <w:szCs w:val="20"/>
              </w:rPr>
            </w:pPr>
            <w:r>
              <w:rPr>
                <w:rFonts w:eastAsia="Titillium Web" w:cs="Arial"/>
                <w:b/>
                <w:sz w:val="20"/>
                <w:szCs w:val="20"/>
              </w:rPr>
              <w:t>Análise e Desenvolvimento de Sistemas</w:t>
            </w:r>
          </w:p>
          <w:p>
            <w:pPr>
              <w:pStyle w:val="LO-normal"/>
              <w:widowControl w:val="false"/>
              <w:spacing w:lineRule="auto" w:line="240"/>
              <w:jc w:val="center"/>
              <w:rPr/>
            </w:pPr>
            <w:r>
              <w:rPr>
                <w:rFonts w:eastAsia="Titillium Web" w:cs="Arial"/>
                <w:sz w:val="20"/>
                <w:szCs w:val="20"/>
              </w:rPr>
              <w:t>INF0</w:t>
            </w:r>
            <w:r>
              <w:rPr>
                <w:rFonts w:eastAsia="Titillium Web" w:cs="Arial"/>
                <w:color w:val="auto"/>
                <w:kern w:val="0"/>
                <w:sz w:val="20"/>
                <w:szCs w:val="20"/>
                <w:lang w:val="en-US" w:eastAsia="zh-CN" w:bidi="hi-IN"/>
              </w:rPr>
              <w:t>27</w:t>
            </w:r>
            <w:r>
              <w:rPr>
                <w:rFonts w:eastAsia="Titillium Web" w:cs="Arial"/>
                <w:sz w:val="20"/>
                <w:szCs w:val="20"/>
              </w:rPr>
              <w:t xml:space="preserve"> – </w:t>
            </w:r>
            <w:r>
              <w:rPr>
                <w:rFonts w:eastAsia="Titillium Web" w:cs="Arial"/>
                <w:color w:val="auto"/>
                <w:kern w:val="0"/>
                <w:sz w:val="20"/>
                <w:szCs w:val="20"/>
                <w:lang w:val="en-US" w:eastAsia="zh-CN" w:bidi="hi-IN"/>
              </w:rPr>
              <w:t>Lógica de Programação</w:t>
            </w:r>
          </w:p>
          <w:p>
            <w:pPr>
              <w:pStyle w:val="LO-normal"/>
              <w:widowControl w:val="false"/>
              <w:spacing w:lineRule="auto" w:line="240"/>
              <w:jc w:val="center"/>
              <w:rPr/>
            </w:pPr>
            <w:r>
              <w:rPr>
                <w:rFonts w:eastAsia="Titillium Web" w:cs="Arial"/>
                <w:b/>
                <w:sz w:val="20"/>
                <w:szCs w:val="20"/>
              </w:rPr>
              <w:t>Prof.:</w:t>
            </w:r>
            <w:r>
              <w:rPr>
                <w:rFonts w:eastAsia="Titillium Web" w:cs="Arial"/>
                <w:sz w:val="20"/>
                <w:szCs w:val="20"/>
              </w:rPr>
              <w:t xml:space="preserve"> Frederico Barboza / José Dihego Oliveira / Romilson Sampaio </w:t>
            </w:r>
          </w:p>
          <w:p>
            <w:pPr>
              <w:pStyle w:val="LO-normal"/>
              <w:widowControl w:val="false"/>
              <w:spacing w:lineRule="auto" w:line="240"/>
              <w:jc w:val="center"/>
              <w:rPr>
                <w:rFonts w:ascii="Arial" w:hAnsi="Arial" w:eastAsia="Titillium Web" w:cs="Arial"/>
                <w:sz w:val="20"/>
                <w:szCs w:val="20"/>
              </w:rPr>
            </w:pPr>
            <w:r>
              <w:rPr>
                <w:rFonts w:eastAsia="Titillium Web" w:cs="Arial"/>
                <w:sz w:val="20"/>
                <w:szCs w:val="20"/>
              </w:rPr>
            </w:r>
          </w:p>
          <w:p>
            <w:pPr>
              <w:pStyle w:val="LO-normal"/>
              <w:widowControl w:val="false"/>
              <w:spacing w:lineRule="auto" w:line="240"/>
              <w:jc w:val="center"/>
              <w:rPr/>
            </w:pPr>
            <w:r>
              <w:rPr>
                <w:rFonts w:eastAsia="Titillium Web" w:cs="Arial"/>
                <w:sz w:val="20"/>
                <w:szCs w:val="20"/>
              </w:rPr>
              <w:t>Aluno:</w:t>
            </w:r>
            <w:r>
              <w:rPr>
                <w:rFonts w:eastAsia="Times New Roman" w:cs="Arial"/>
                <w:sz w:val="20"/>
                <w:szCs w:val="20"/>
              </w:rPr>
              <w:t xml:space="preserve"> _______________________________________________ </w:t>
            </w:r>
            <w:r>
              <w:rPr>
                <w:rFonts w:eastAsia="Titillium Web" w:cs="Arial"/>
                <w:sz w:val="20"/>
                <w:szCs w:val="20"/>
              </w:rPr>
              <w:t xml:space="preserve">Nota: </w:t>
            </w:r>
            <w:r>
              <w:rPr>
                <w:rFonts w:eastAsia="Times New Roman" w:cs="Arial"/>
                <w:sz w:val="20"/>
                <w:szCs w:val="20"/>
              </w:rPr>
              <w:t>___________</w:t>
            </w:r>
          </w:p>
          <w:p>
            <w:pPr>
              <w:pStyle w:val="LO-normal"/>
              <w:widowControl w:val="false"/>
              <w:spacing w:lineRule="auto" w:line="240"/>
              <w:jc w:val="center"/>
              <w:rPr>
                <w:rFonts w:ascii="Arial" w:hAnsi="Arial"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</w:r>
          </w:p>
          <w:p>
            <w:pPr>
              <w:pStyle w:val="LO-normal"/>
              <w:widowControl w:val="false"/>
              <w:spacing w:lineRule="auto" w:line="240"/>
              <w:jc w:val="center"/>
              <w:rPr/>
            </w:pPr>
            <w:r>
              <w:rPr>
                <w:rFonts w:eastAsia="Times New Roman" w:cs="Arial"/>
                <w:b/>
                <w:bCs/>
                <w:sz w:val="20"/>
                <w:szCs w:val="20"/>
              </w:rPr>
              <w:t>AVALIAÇÃO II</w:t>
            </w:r>
            <w:r>
              <w:rPr>
                <w:rFonts w:eastAsia="Times New Roman" w:cs="Arial"/>
                <w:b/>
                <w:bCs/>
                <w:sz w:val="20"/>
                <w:szCs w:val="20"/>
              </w:rPr>
              <w:t>I</w:t>
            </w:r>
            <w:r>
              <w:rPr>
                <w:rFonts w:eastAsia="Times New Roman" w:cs="Arial"/>
                <w:b/>
                <w:bCs/>
                <w:sz w:val="20"/>
                <w:szCs w:val="20"/>
              </w:rPr>
              <w:t xml:space="preserve"> – 2025.2</w:t>
            </w:r>
          </w:p>
        </w:tc>
        <w:tc>
          <w:tcPr>
            <w:tcW w:w="1644" w:type="dxa"/>
            <w:tcBorders/>
          </w:tcPr>
          <w:p>
            <w:pPr>
              <w:pStyle w:val="Contedodatabela"/>
              <w:widowControl w:val="false"/>
              <w:snapToGrid w:val="false"/>
              <w:rPr/>
            </w:pPr>
            <w:r>
              <w:rPr/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75030" cy="618490"/>
                  <wp:effectExtent l="0" t="0" r="0" b="0"/>
                  <wp:wrapSquare wrapText="largest"/>
                  <wp:docPr id="1" name="Figura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-7" t="-10" r="-7" b="-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618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pStyle w:val="Normal"/>
        <w:jc w:val="both"/>
        <w:rPr/>
      </w:pPr>
      <w:r>
        <w:rPr/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left="0" w:right="0" w:hanging="0"/>
        <w:jc w:val="both"/>
        <w:rPr/>
      </w:pPr>
      <w:r>
        <w:rPr>
          <w:b/>
          <w:bCs/>
        </w:rPr>
        <w:t xml:space="preserve">Questão I - </w:t>
      </w:r>
      <w:r>
        <w:rPr/>
        <w:t>A Agência Ufológica de Varginha está interessada em investigar trocas de mensagens, supostamente entre alienígenas. Suspeita-se que alienígenas conseguiram se infiltrar dentro da instituição e tem se comunicado secretamente. Os dispositivos de comunicação usados pelos agentes possui as seguintes teclas: letras maiúsculas de A a Z, letras minúsculas de a a z, dígitos de 0 a 9, operadores aritméticos (+, -, *, /), hashtag (#) e ponto de exclamação (!). Os agentes descobriram que sempre que dois alienígenas se comunicam entre si usando o dispositivo, eles usam um alfabeto alienígena que possui um conjunto específico de símbolos. Assim, uma mensagem pode ter sido escrita por alienígenas se, e somente se, todos os símbolos que compõem ela pertencem ao alfabeto alienígena. Por exemplo, se o alfabeto alienígena for composto pel</w:t>
      </w:r>
      <w:r>
        <w:rPr/>
        <w:t>o</w:t>
      </w:r>
      <w:r>
        <w:rPr/>
        <w:t xml:space="preserve">s caracteres </w:t>
      </w:r>
      <w:r>
        <w:rPr>
          <w:rFonts w:eastAsia="Courier New" w:cs="Courier New" w:ascii="Courier New" w:hAnsi="Courier New"/>
          <w:b/>
          <w:bCs/>
        </w:rPr>
        <w:t>!</w:t>
      </w:r>
      <w:r>
        <w:rPr/>
        <w:t xml:space="preserve">, </w:t>
      </w:r>
      <w:r>
        <w:rPr>
          <w:rFonts w:eastAsia="Courier New" w:cs="Courier New" w:ascii="Courier New" w:hAnsi="Courier New"/>
          <w:b/>
          <w:bCs/>
        </w:rPr>
        <w:t>1</w:t>
      </w:r>
      <w:r>
        <w:rPr/>
        <w:t>,</w:t>
      </w:r>
      <w:r>
        <w:rPr>
          <w:rFonts w:eastAsia="Courier New" w:cs="Courier New" w:ascii="Courier New" w:hAnsi="Courier New"/>
          <w:b/>
          <w:bCs/>
        </w:rPr>
        <w:t xml:space="preserve"> o</w:t>
      </w:r>
      <w:r>
        <w:rPr/>
        <w:t xml:space="preserve"> e </w:t>
      </w:r>
      <w:r>
        <w:rPr>
          <w:rFonts w:eastAsia="Courier New" w:cs="Courier New" w:ascii="Courier New" w:hAnsi="Courier New"/>
          <w:b/>
          <w:bCs/>
        </w:rPr>
        <w:t>b</w:t>
      </w:r>
      <w:r>
        <w:rPr/>
        <w:t xml:space="preserve">, a mensagem </w:t>
      </w:r>
      <w:r>
        <w:rPr>
          <w:rFonts w:eastAsia="Courier New" w:cs="Courier New" w:ascii="Courier New" w:hAnsi="Courier New"/>
          <w:b/>
          <w:bCs/>
        </w:rPr>
        <w:t>ob1!!</w:t>
      </w:r>
      <w:r>
        <w:rPr/>
        <w:t xml:space="preserve"> é uma mensagem que poderia ser escrita por alienígenas. Por outro lado, a mensagem</w:t>
      </w:r>
      <w:r>
        <w:rPr>
          <w:rFonts w:eastAsia="Courier New" w:cs="Courier New" w:ascii="Courier New" w:hAnsi="Courier New"/>
          <w:b/>
          <w:bCs/>
        </w:rPr>
        <w:t xml:space="preserve"> Obi!</w:t>
      </w:r>
      <w:r>
        <w:rPr/>
        <w:t xml:space="preserve"> não poderia ter sido escrita por alienígenas pois tanto o primeiro caractere</w:t>
      </w:r>
      <w:r>
        <w:rPr>
          <w:rFonts w:eastAsia="Courier New" w:cs="Courier New" w:ascii="Courier New" w:hAnsi="Courier New"/>
          <w:b/>
          <w:bCs/>
        </w:rPr>
        <w:t xml:space="preserve"> O</w:t>
      </w:r>
      <w:r>
        <w:rPr/>
        <w:t xml:space="preserve"> (maiúsculo) quanto o terceiro caractere</w:t>
      </w:r>
      <w:r>
        <w:rPr>
          <w:rFonts w:eastAsia="Courier New" w:cs="Courier New" w:ascii="Courier New" w:hAnsi="Courier New"/>
          <w:b/>
          <w:bCs/>
        </w:rPr>
        <w:t xml:space="preserve"> i </w:t>
      </w:r>
      <w:r>
        <w:rPr/>
        <w:t>não fazem parte do alfabeto alienígena.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left="0" w:right="0" w:hanging="0"/>
        <w:jc w:val="both"/>
        <w:rPr/>
      </w:pPr>
      <w:r>
        <w:rPr/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left="0" w:right="0" w:hanging="0"/>
        <w:jc w:val="both"/>
        <w:rPr/>
      </w:pPr>
      <w:r>
        <w:rPr/>
        <w:t xml:space="preserve">Sua tarefa é escrever um programa em C que leia uma </w:t>
      </w:r>
      <w:r>
        <w:rPr>
          <w:i/>
          <w:iCs/>
        </w:rPr>
        <w:t>string</w:t>
      </w:r>
      <w:r>
        <w:rPr/>
        <w:t xml:space="preserve"> com os caracteres do alfabeto alienígena e a mensagem interceptada e determine se a mensagem poderia </w:t>
      </w:r>
      <w:r>
        <w:rPr/>
        <w:t xml:space="preserve">ou não </w:t>
      </w:r>
      <w:r>
        <w:rPr/>
        <w:t>ter sido escrita por.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left="0" w:right="0" w:hanging="0"/>
        <w:jc w:val="both"/>
        <w:rPr>
          <w:b/>
          <w:bCs/>
        </w:rPr>
      </w:pPr>
      <w:r>
        <w:rPr>
          <w:b/>
          <w:bCs/>
        </w:rPr>
        <w:t>ADAPTADO DA OBI2024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</w:r>
    </w:p>
    <w:p>
      <w:pPr>
        <w:pStyle w:val="Normal1"/>
        <w:jc w:val="both"/>
        <w:rPr/>
      </w:pPr>
      <w:r>
        <w:rPr>
          <w:b/>
          <w:bCs/>
        </w:rPr>
        <w:t>Questão I</w:t>
      </w:r>
      <w:r>
        <w:rPr>
          <w:b/>
          <w:bCs/>
        </w:rPr>
        <w:t>I</w:t>
      </w:r>
      <w:r>
        <w:rPr>
          <w:b/>
          <w:bCs/>
        </w:rPr>
        <w:t xml:space="preserve"> - </w:t>
      </w:r>
      <w:r>
        <w:rPr/>
        <w:t xml:space="preserve">Um jogo de tabuleiro eletrônico ambienta-se em uma arena quadrada de dimensão </w:t>
      </w:r>
      <w:r>
        <w:rPr>
          <w:b/>
          <w:bCs/>
        </w:rPr>
        <w:t>M x M</w:t>
      </w:r>
      <w:r>
        <w:rPr/>
        <w:t xml:space="preserve">, composta por quadrículas. Cada quadrícula contém areia movediça com um sentido de fluxo específico. Ao ocupar uma posição no tabuleiro, o jogador é imediatamente transportado para a quadrícula vizinha, seguindo a direção indicada pelo fluxo daquela coordenada, com uma velocidade de deslocamento de uma unidade por minuto. A figura abaixo exemplifica um tabuleiro de dimensão </w:t>
      </w:r>
      <w:r>
        <w:rPr>
          <w:b/>
          <w:bCs/>
        </w:rPr>
        <w:t>M=4</w:t>
      </w:r>
      <w:r>
        <w:rPr/>
        <w:t>, detalhando os vetores de movimento da areia em cada região.</w:t>
      </w:r>
    </w:p>
    <w:p>
      <w:pPr>
        <w:pStyle w:val="Normal1"/>
        <w:rPr/>
      </w:pPr>
      <w:r>
        <w:rPr/>
      </w:r>
    </w:p>
    <w:p>
      <w:pPr>
        <w:pStyle w:val="Normal1"/>
        <w:jc w:val="center"/>
        <w:rPr/>
      </w:pPr>
      <w:r>
        <w:rPr/>
        <w:drawing>
          <wp:inline distT="0" distB="0" distL="0" distR="0">
            <wp:extent cx="2438400" cy="1362075"/>
            <wp:effectExtent l="0" t="0" r="0" b="0"/>
            <wp:docPr id="2" name="image1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1"/>
        <w:jc w:val="both"/>
        <w:rPr/>
      </w:pPr>
      <w:r>
        <w:rPr/>
        <w:t xml:space="preserve">No jogo, um tesouro é ocultado em uma ou mais quadrículas, marcadas com o caractere </w:t>
      </w:r>
      <w:r>
        <w:rPr>
          <w:b/>
          <w:bCs/>
        </w:rPr>
        <w:t>'X'</w:t>
      </w:r>
      <w:r>
        <w:rPr/>
        <w:t xml:space="preserve">. Nas demais regiões, o mapa indica o sentido do fluxo da areia através de caracteres: </w:t>
      </w:r>
      <w:r>
        <w:rPr>
          <w:b/>
          <w:bCs/>
        </w:rPr>
        <w:t>'N'</w:t>
      </w:r>
      <w:r>
        <w:rPr/>
        <w:t xml:space="preserve"> (Norte), </w:t>
      </w:r>
      <w:r>
        <w:rPr>
          <w:b/>
          <w:bCs/>
        </w:rPr>
        <w:t>'S'</w:t>
      </w:r>
      <w:r>
        <w:rPr/>
        <w:t xml:space="preserve"> (Sul), </w:t>
      </w:r>
      <w:r>
        <w:rPr>
          <w:b/>
          <w:bCs/>
        </w:rPr>
        <w:t>'L'</w:t>
      </w:r>
      <w:r>
        <w:rPr/>
        <w:t xml:space="preserve"> (Leste) e </w:t>
      </w:r>
      <w:r>
        <w:rPr>
          <w:b/>
          <w:bCs/>
        </w:rPr>
        <w:t>'O'</w:t>
      </w:r>
      <w:r>
        <w:rPr/>
        <w:t xml:space="preserve"> (Oeste). A figura seguinte ilustra o mapa correspondente, assumindo que o tesouro está localizado na coordenada (2, 1)</w:t>
      </w:r>
    </w:p>
    <w:p>
      <w:pPr>
        <w:pStyle w:val="Normal1"/>
        <w:jc w:val="center"/>
        <w:rPr/>
      </w:pPr>
      <w:r>
        <w:rPr/>
      </w:r>
    </w:p>
    <w:p>
      <w:pPr>
        <w:pStyle w:val="Normal1"/>
        <w:jc w:val="center"/>
        <w:rPr/>
      </w:pPr>
      <w:r>
        <w:rPr/>
      </w:r>
    </w:p>
    <w:tbl>
      <w:tblPr>
        <w:tblStyle w:val="Table1"/>
        <w:tblW w:w="1860" w:type="dxa"/>
        <w:jc w:val="center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465"/>
        <w:gridCol w:w="465"/>
        <w:gridCol w:w="465"/>
        <w:gridCol w:w="464"/>
      </w:tblGrid>
      <w:tr>
        <w:trPr>
          <w:trHeight w:val="462" w:hRule="atLeast"/>
        </w:trPr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</w:tr>
      <w:tr>
        <w:trPr>
          <w:trHeight w:val="462" w:hRule="atLeast"/>
        </w:trPr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</w:tr>
      <w:tr>
        <w:trPr>
          <w:trHeight w:val="462" w:hRule="atLeast"/>
        </w:trPr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</w:t>
            </w:r>
          </w:p>
        </w:tc>
      </w:tr>
      <w:tr>
        <w:trPr>
          <w:trHeight w:val="462" w:hRule="atLeast"/>
        </w:trPr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left="0" w:right="0" w:hanging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</w:t>
            </w:r>
          </w:p>
        </w:tc>
      </w:tr>
    </w:tbl>
    <w:p>
      <w:pPr>
        <w:pStyle w:val="Normal1"/>
        <w:jc w:val="center"/>
        <w:rPr/>
      </w:pPr>
      <w:r>
        <w:rPr/>
      </w:r>
    </w:p>
    <w:p>
      <w:pPr>
        <w:pStyle w:val="Normal1"/>
        <w:spacing w:lineRule="auto" w:line="240" w:before="240" w:after="240"/>
        <w:jc w:val="both"/>
        <w:rPr/>
      </w:pPr>
      <w:r>
        <w:rPr/>
        <w:t>A dinâmica consiste em o jogador selecionar uma coordenada inicial para saltar de paraquedas, sem conhecer a configuração prévia do mapa. A partir do pouso, o programa deve calcular o tempo necessário para o jogador alcançar o tesouro, sendo arrastado passivamente pelo fluxo. Existem três desfechos possíveis:</w:t>
      </w:r>
    </w:p>
    <w:p>
      <w:pPr>
        <w:pStyle w:val="Normal1"/>
        <w:numPr>
          <w:ilvl w:val="0"/>
          <w:numId w:val="1"/>
        </w:numPr>
        <w:spacing w:lineRule="auto" w:line="240" w:before="240" w:afterAutospacing="0" w:after="0"/>
        <w:ind w:left="720" w:hanging="360"/>
        <w:jc w:val="both"/>
        <w:rPr/>
      </w:pPr>
      <w:r>
        <w:rPr>
          <w:b/>
          <w:bCs/>
        </w:rPr>
        <w:t>Vitória:</w:t>
      </w:r>
      <w:r>
        <w:rPr/>
        <w:t xml:space="preserve"> O jogador alcança uma quadrícula marcada com </w:t>
      </w:r>
      <w:r>
        <w:rPr>
          <w:b/>
          <w:bCs/>
        </w:rPr>
        <w:t>'X'</w:t>
      </w:r>
      <w:r>
        <w:rPr/>
        <w:t>.</w:t>
      </w:r>
    </w:p>
    <w:p>
      <w:pPr>
        <w:pStyle w:val="Normal1"/>
        <w:numPr>
          <w:ilvl w:val="0"/>
          <w:numId w:val="1"/>
        </w:numPr>
        <w:spacing w:lineRule="auto" w:line="240" w:beforeAutospacing="0" w:before="0" w:afterAutospacing="0" w:after="0"/>
        <w:ind w:left="720" w:hanging="360"/>
        <w:jc w:val="both"/>
        <w:rPr/>
      </w:pPr>
      <w:r>
        <w:rPr>
          <w:b/>
          <w:bCs/>
        </w:rPr>
        <w:t>Derrota (Fora dos limites):</w:t>
      </w:r>
      <w:r>
        <w:rPr/>
        <w:t xml:space="preserve"> O jogador é arrastado para fora das bordas da arena.</w:t>
      </w:r>
    </w:p>
    <w:p>
      <w:pPr>
        <w:pStyle w:val="Normal1"/>
        <w:numPr>
          <w:ilvl w:val="0"/>
          <w:numId w:val="1"/>
        </w:numPr>
        <w:spacing w:lineRule="auto" w:line="240" w:beforeAutospacing="0" w:before="0" w:after="240"/>
        <w:ind w:left="720" w:hanging="360"/>
        <w:jc w:val="both"/>
        <w:rPr/>
      </w:pPr>
      <w:r>
        <w:rPr>
          <w:b/>
          <w:bCs/>
        </w:rPr>
        <w:t>Derrota (Preso na Areia):</w:t>
      </w:r>
      <w:r>
        <w:rPr/>
        <w:t xml:space="preserve"> O jogador é arrastado para sempre na areia movediça e nunca atinge o tesouro.</w:t>
      </w:r>
    </w:p>
    <w:p>
      <w:pPr>
        <w:pStyle w:val="Normal1"/>
        <w:spacing w:lineRule="auto" w:line="240" w:before="0" w:after="240"/>
        <w:jc w:val="both"/>
        <w:rPr/>
      </w:pPr>
      <w:r>
        <w:rPr/>
        <w:t xml:space="preserve">As figuras abaixo exemplificam: um jogador sendo lançado para fora do mapa ao iniciar na posição </w:t>
      </w:r>
      <w:r>
        <w:rPr>
          <w:b/>
          <w:bCs/>
        </w:rPr>
        <w:t>(0,0)</w:t>
      </w:r>
      <w:r>
        <w:rPr/>
        <w:t xml:space="preserve">; e um jogador alcançando o tesouro em 7 minutos ao iniciar na posição </w:t>
      </w:r>
      <w:r>
        <w:rPr>
          <w:b/>
          <w:bCs/>
        </w:rPr>
        <w:t>(0,2)</w:t>
      </w:r>
      <w:r>
        <w:rPr/>
        <w:t>.</w:t>
      </w:r>
    </w:p>
    <w:p>
      <w:pPr>
        <w:pStyle w:val="Normal1"/>
        <w:spacing w:lineRule="auto" w:line="240" w:before="0" w:after="240"/>
        <w:jc w:val="center"/>
        <w:rPr/>
      </w:pPr>
      <w:r>
        <w:rPr/>
        <w:drawing>
          <wp:inline distT="0" distB="0" distL="0" distR="0">
            <wp:extent cx="4119245" cy="1642110"/>
            <wp:effectExtent l="0" t="0" r="0" b="0"/>
            <wp:docPr id="3" name="image2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245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1"/>
        <w:spacing w:lineRule="auto" w:line="240" w:before="0" w:after="240"/>
        <w:jc w:val="both"/>
        <w:rPr/>
      </w:pPr>
      <w:r>
        <w:rPr/>
        <w:t xml:space="preserve">Escreva um programa em </w:t>
      </w:r>
      <w:r>
        <w:rPr>
          <w:b/>
          <w:bCs/>
        </w:rPr>
        <w:t>C</w:t>
      </w:r>
      <w:r>
        <w:rPr/>
        <w:t xml:space="preserve"> que leia a configuração da matriz (mapa) e a posição inicial do jogador, informando o tempo de chegada ao tesouro ou o tipo de derrota ocorrida (Fora dos Limites, Preso na Areia).</w:t>
      </w:r>
    </w:p>
    <w:p>
      <w:pPr>
        <w:pStyle w:val="Normal1"/>
        <w:jc w:val="both"/>
        <w:rPr/>
      </w:pPr>
      <w:r>
        <w:rPr>
          <w:b/>
          <w:bCs/>
        </w:rPr>
        <w:t>ADAPTADO DA OBI2023</w:t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rial">
    <w:charset w:val="00"/>
    <w:family w:val="roman"/>
    <w:pitch w:val="variable"/>
  </w:font>
  <w:font w:name="Liberation Sans">
    <w:altName w:val="Arial"/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Courier New">
    <w:charset w:val="00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4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tulo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Ttulo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Ttulo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Ttulo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Ttulo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Ttulo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Normal1" w:default="1">
    <w:name w:val="LO-normal0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tulododocumento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tulo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paragraph" w:styleId="LO-normal">
    <w:name w:val="LO-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Contedodatabela">
    <w:name w:val="Conteúdo da tabela"/>
    <w:basedOn w:val="Normal"/>
    <w:qFormat/>
    <w:pPr>
      <w:widowControl w:val="false"/>
      <w:suppressLineNumbers/>
    </w:pPr>
    <w:rPr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</TotalTime>
  <Application>LibreOffice/7.5.9.2$Windows_X86_64 LibreOffice_project/cdeefe45c17511d326101eed8008ac4092f278a9</Application>
  <AppVersion>15.0000</AppVersion>
  <Pages>2</Pages>
  <Words>578</Words>
  <Characters>2978</Characters>
  <CharactersWithSpaces>3523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pt-BR</dc:language>
  <cp:lastModifiedBy/>
  <dcterms:modified xsi:type="dcterms:W3CDTF">2026-01-27T14:35:42Z</dcterms:modified>
  <cp:revision>1</cp:revision>
  <dc:subject/>
  <dc:title/>
</cp:coreProperties>
</file>