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drawing>
          <wp:anchor behindDoc="0" distT="114300" distB="114300" distL="114300" distR="114300" simplePos="0" locked="0" layoutInCell="1" allowOverlap="1" relativeHeight="2">
            <wp:simplePos x="0" y="0"/>
            <wp:positionH relativeFrom="column">
              <wp:posOffset>57150</wp:posOffset>
            </wp:positionH>
            <wp:positionV relativeFrom="paragraph">
              <wp:posOffset>77470</wp:posOffset>
            </wp:positionV>
            <wp:extent cx="957580" cy="143637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FF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FF"/>
          <w:sz w:val="24"/>
          <w:szCs w:val="24"/>
        </w:rPr>
        <w:t xml:space="preserve">                             </w:t>
      </w:r>
    </w:p>
    <w:p>
      <w:pPr>
        <w:pStyle w:val="Normal"/>
        <w:spacing w:lineRule="auto" w:line="240" w:before="0" w:after="240"/>
        <w:jc w:val="center"/>
        <w:rPr>
          <w:rFonts w:ascii="Candara" w:hAnsi="Candara"/>
        </w:rPr>
      </w:pPr>
      <w:r>
        <w:rPr>
          <w:rFonts w:eastAsia="Times New Roman" w:cs="Times New Roman" w:ascii="Candara" w:hAnsi="Candara"/>
          <w:b/>
          <w:color w:val="434343"/>
          <w:sz w:val="24"/>
          <w:szCs w:val="24"/>
        </w:rPr>
        <w:t xml:space="preserve">Plano de Ensino Remoto Emergencial </w:t>
      </w:r>
    </w:p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8"/>
          <w:szCs w:val="28"/>
        </w:rPr>
        <w:t xml:space="preserve">                                                  </w:t>
      </w:r>
      <w:r>
        <w:rPr>
          <w:rFonts w:eastAsia="Arial" w:cs="Arial" w:ascii="Candara" w:hAnsi="Candara"/>
          <w:b/>
          <w:sz w:val="28"/>
          <w:szCs w:val="28"/>
        </w:rPr>
        <w:tab/>
      </w:r>
    </w:p>
    <w:p>
      <w:pPr>
        <w:pStyle w:val="Normal"/>
        <w:spacing w:lineRule="auto" w:line="240" w:before="240" w:after="240"/>
        <w:jc w:val="both"/>
        <w:rPr>
          <w:rFonts w:ascii="Candara" w:hAnsi="Candara" w:eastAsia="Arial" w:cs="Arial"/>
          <w:b/>
          <w:b/>
          <w:sz w:val="28"/>
          <w:szCs w:val="28"/>
        </w:rPr>
      </w:pPr>
      <w:r>
        <w:rPr>
          <w:rFonts w:eastAsia="Arial" w:cs="Arial" w:ascii="Candara" w:hAnsi="Candara"/>
          <w:b/>
          <w:sz w:val="28"/>
          <w:szCs w:val="28"/>
        </w:rPr>
      </w:r>
    </w:p>
    <w:tbl>
      <w:tblPr>
        <w:tblStyle w:val="a8"/>
        <w:tblW w:w="850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293"/>
        <w:gridCol w:w="2504"/>
        <w:gridCol w:w="2706"/>
      </w:tblGrid>
      <w:tr>
        <w:trPr>
          <w:trHeight w:val="1445" w:hRule="atLeast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8"/>
                <w:szCs w:val="28"/>
              </w:rPr>
              <w:t>PLANO DE ENSINO REMOTO EMERGENCIAL</w:t>
              <w:tab/>
            </w:r>
          </w:p>
          <w:p>
            <w:pPr>
              <w:pStyle w:val="Normal"/>
              <w:spacing w:lineRule="auto" w:line="240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8"/>
                <w:szCs w:val="28"/>
              </w:rPr>
              <w:t xml:space="preserve">Início: 31/08/2020 Término: 31/10/2020 </w:t>
            </w:r>
          </w:p>
        </w:tc>
      </w:tr>
      <w:tr>
        <w:trPr>
          <w:trHeight w:val="817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Curso: ADS</w:t>
            </w:r>
          </w:p>
        </w:tc>
        <w:tc>
          <w:tcPr>
            <w:tcW w:w="52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Turma/semestre: 1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  <w:vertAlign w:val="superscript"/>
              </w:rPr>
              <w:t>o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semestre</w:t>
            </w:r>
          </w:p>
        </w:tc>
      </w:tr>
      <w:tr>
        <w:trPr>
          <w:trHeight w:val="1076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Departamento: DALV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Componente curricular: LET100 – Leitura e Produção Textual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Carga horária: 60h</w:t>
            </w:r>
          </w:p>
        </w:tc>
      </w:tr>
      <w:tr>
        <w:trPr>
          <w:trHeight w:val="1042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Docente: José Roberto de Andrade</w:t>
            </w:r>
          </w:p>
        </w:tc>
        <w:tc>
          <w:tcPr>
            <w:tcW w:w="5210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199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Carga horária total pendente para conclusão: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18h, aproximadamente 30% de 60h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Carga horária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Atividades síncronas</w:t>
            </w:r>
            <w:r>
              <w:rPr>
                <w:rFonts w:eastAsia="Arial" w:cs="Arial" w:ascii="Candara" w:hAnsi="Candara"/>
                <w:b w:val="false"/>
                <w:bCs w:val="false"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i/>
                <w:sz w:val="24"/>
                <w:szCs w:val="24"/>
              </w:rPr>
              <w:t>4h, aproximadamente 20% de 18h</w:t>
            </w:r>
          </w:p>
        </w:tc>
        <w:tc>
          <w:tcPr>
            <w:tcW w:w="270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Carga horária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Atividades assíncronas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i/>
                <w:sz w:val="24"/>
                <w:szCs w:val="24"/>
              </w:rPr>
              <w:t>14h, aproximadamente 80% de 18h</w:t>
            </w:r>
          </w:p>
        </w:tc>
      </w:tr>
      <w:tr>
        <w:trPr>
          <w:trHeight w:val="2244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Carga horária dos atendimentos discentes: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i/>
                <w:sz w:val="24"/>
                <w:szCs w:val="24"/>
              </w:rPr>
              <w:t>4h adicionais, aproximadamente 20% de 18h</w:t>
            </w:r>
          </w:p>
        </w:tc>
        <w:tc>
          <w:tcPr>
            <w:tcW w:w="52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297" w:after="297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Horários de atendimento</w:t>
            </w:r>
            <w:r>
              <w:rPr>
                <w:rFonts w:eastAsia="Arial" w:cs="Arial" w:ascii="Candara" w:hAnsi="Candara"/>
                <w:b w:val="false"/>
                <w:bCs w:val="false"/>
                <w:iCs/>
                <w:sz w:val="24"/>
                <w:szCs w:val="24"/>
              </w:rPr>
              <w:t>:</w:t>
            </w:r>
            <w:r>
              <w:rPr>
                <w:rFonts w:eastAsia="Arial" w:cs="Arial" w:ascii="Candara" w:hAnsi="Candara"/>
                <w:b w:val="false"/>
                <w:bCs w:val="false"/>
                <w:i/>
                <w:iCs/>
                <w:sz w:val="24"/>
                <w:szCs w:val="24"/>
              </w:rPr>
              <w:t xml:space="preserve"> Os horários de atendimento serão agendados nos primeiros encontros com os estudantes, considerando as disponibilidades e circunstâncias</w:t>
            </w:r>
          </w:p>
        </w:tc>
      </w:tr>
      <w:tr>
        <w:trPr>
          <w:trHeight w:val="1265" w:hRule="atLeast"/>
        </w:trPr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Atividade</w:t>
            </w:r>
            <w:r>
              <w:rPr>
                <w:rFonts w:eastAsia="Arial" w:cs="Arial" w:ascii="Candara" w:hAnsi="Candar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Arial" w:cs="Arial" w:ascii="Candara" w:hAnsi="Candara"/>
                <w:b/>
                <w:sz w:val="24"/>
                <w:szCs w:val="24"/>
              </w:rPr>
              <w:t>Interdisciplinar:</w:t>
            </w:r>
          </w:p>
        </w:tc>
        <w:tc>
          <w:tcPr>
            <w:tcW w:w="52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Componentes curriculares envolvidos:</w:t>
            </w:r>
          </w:p>
        </w:tc>
      </w:tr>
      <w:tr>
        <w:trPr>
          <w:trHeight w:val="54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OBJETIVOS</w:t>
            </w:r>
          </w:p>
        </w:tc>
      </w:tr>
      <w:tr>
        <w:trPr>
          <w:trHeight w:val="5570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Os objetivos a seguir estão no plano da disciplina e vêm sendo construídos ao longo do semestre e continuarão sendo na retomada do semestre 2019.2, sempre que necessário.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ndara" w:hAnsi="Candara"/>
                <w:b/>
                <w:bCs/>
                <w:sz w:val="24"/>
                <w:szCs w:val="24"/>
              </w:rPr>
              <w:t>Geral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Entender a leitura e a produção oral e escrita como vivências cotidianas que constituem e aprimoram o domínio da língua portuguesa e seus mecanismos de construção de sentido.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ndara" w:hAnsi="Candara"/>
                <w:b/>
                <w:bCs/>
                <w:sz w:val="24"/>
                <w:szCs w:val="24"/>
              </w:rPr>
              <w:t>Específicos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Experimentar técnicas de compreensão e produção de textos de diversos gêneros.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Analisar, interpretar e aplicar os recursos expressivos da língua portuguesa, relacionando textos com seus contextos, mediante a natureza, função, organização, estrutura das manifestações, de acordo com as condições de produção, circulação e recepção.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Reconhecer variantes da língua e utilizá-las, segundo critérios de adequação sócio-político-ideológica, para produção de sentidos e para construção da coesão e coerência textuais.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Utilizar ferramentas, como dicionários, gramáticas e normas técnicas, para solucionar dúvidas, enriquecer repertório lexical e aprimorar a leitura e escrita. 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Entender e praticar as técnicas de citação direta e indireta ― resumo, citação, paráfrase e cópia ― e de comentário ― notas, comentário crítico, resenha e afins ―, como recurso para organizar memória de leitura e repertório de formas e conteúdos.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Reconhecer e aplicar mecanismos linguísticos e não linguísticos de coesão e coerência textuais.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Aprimorar, na prática, o uso de sinais de pontuação e de outros recursos expressivos da língua.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Utilizar bibliotecas e bases de dados online para realizar atividades de ensino e pesquisa.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Utilizar dispositivos eletrônicos ― smartphones, notebooks, tablets e computadores ― para aprimorar a experiência de leitura e escrita.</w:t>
            </w:r>
          </w:p>
          <w:p>
            <w:pPr>
              <w:pStyle w:val="Normal"/>
              <w:spacing w:lineRule="auto" w:line="276" w:before="114" w:after="114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 xml:space="preserve">    • </w:t>
            </w: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Utilizar aplicativos de comunicação ― e-mail, whatsapp, facebook, skype, hangouts e afins ― e plataformas de produção compartilhada ― googledocs e afins ― para aprender, partilhar, expandir e aprimorar a vivência de leitura e escrita.</w:t>
            </w:r>
            <w:r>
              <w:rPr>
                <w:rFonts w:eastAsia="Arial" w:cs="Arial" w:ascii="Candara" w:hAnsi="Candara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CONTEÚDO PROGRAMÁTICO</w:t>
            </w:r>
          </w:p>
        </w:tc>
      </w:tr>
      <w:tr>
        <w:trPr>
          <w:trHeight w:val="198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O conteúdo programático listado a seguir vem e continuará sendo trabalhado de forma orgânica nas atividades de leitura e produção de texto. Os itens serão retomados à medida que o contexto de leitura e escrita exija: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Técnicas de leituras e produção de textos de diversos gêneros, considerando a relação autor e leitor.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Gênero como construção social relacionada a sujeito, contexto, discurso, formas, conteúdos, práticas e usos.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Gêneros acadêmicos: formas, conteúdos, leitores, escritores e locais de circulação.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Memória de leitura e repertório para produção de textos orais e escritos: resumo, paráfrase e cópia.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Memória de leitura comentada e avaliada: comentário crítico, comentário comparativo e resenha crítica.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Marcas de revisão e indicações para reescrita: reelaboração, modificação e aprimoramento do texto.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Lógicas e ilógicas da argumentação: conhecendo os tipos de argumento, aprendendo a importância do “diálogo” com outros textos na construção e encadeando de argumentos.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Sinais gráficos: pontos, vírgulas, travessões, acentos e afins: usos no texto escrito como indicadores de ritmo de leitura, de relações sintáticas, de tipo de discurso e de coesão e coerência.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76"/>
              <w:jc w:val="both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kern w:val="2"/>
                <w:sz w:val="24"/>
                <w:szCs w:val="24"/>
                <w:lang w:val="pt-BR" w:eastAsia="ar-SA"/>
              </w:rPr>
              <w:t>Importância da audição para definir relações de sentido, ritmo e possibilidades de reescrita.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Língua: vocabulários, discursos, sotaques, frases, morfologias e sintaxes: a importância e a riqueza dos diferentes registros linguísticos para a expressividade e originalidade dos textos, para a construção da coerência e coesão e para a constituição de imagens sociais de leitores, escritores e falantes.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A leitura do hipertexto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Técnicas de uso dos dicionários e gramáticas (em papel, digitais e online) para leitura e produção textual.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 xml:space="preserve">Técnicas de uso das bibliotecas e bases de dados online para leitura e produção textual: acesso e uso.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Técnicas de uso de smartphones, notebooks, desktops e tablets na leitura produção escrita.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</w:rPr>
            </w:pPr>
            <w:r>
              <w:rPr>
                <w:rFonts w:cs="" w:ascii="Candara" w:hAnsi="Candara" w:cstheme="majorBidi"/>
                <w:sz w:val="24"/>
                <w:szCs w:val="24"/>
                <w:lang w:val="pt-BR" w:eastAsia="ar-SA"/>
              </w:rPr>
              <w:t>Técnicas de uso de aplicativos e plataformas de produção compartilhada para leitura e escrita.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76" w:before="120" w:after="120"/>
              <w:contextualSpacing/>
              <w:jc w:val="both"/>
              <w:textAlignment w:val="baseline"/>
              <w:rPr>
                <w:rFonts w:ascii="Candara" w:hAnsi="Candara"/>
                <w:b w:val="false"/>
                <w:b w:val="false"/>
              </w:rPr>
            </w:pPr>
            <w:r>
              <w:rPr>
                <w:rFonts w:eastAsia="Calibri" w:cs="" w:ascii="Candara" w:hAnsi="Candara" w:cstheme="majorBidi"/>
                <w:b w:val="false"/>
                <w:bCs w:val="false"/>
                <w:color w:val="auto"/>
                <w:kern w:val="0"/>
                <w:sz w:val="24"/>
                <w:szCs w:val="24"/>
                <w:lang w:val="pt-BR" w:eastAsia="ar-SA" w:bidi="ar-SA"/>
              </w:rPr>
              <w:t>NBRs 10520 (citação) 6023 (referências) 6028 (resumo): limites e forma dos resumos, sistemas de citação e de referência (relação citação no texto\lista de referências)</w:t>
            </w:r>
          </w:p>
        </w:tc>
      </w:tr>
      <w:tr>
        <w:trPr>
          <w:trHeight w:val="742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76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ATIVIDADES SÍNCRONAS (</w:t>
            </w:r>
            <w:r>
              <w:rPr>
                <w:rFonts w:eastAsia="Arial" w:cs="Arial" w:ascii="Candara" w:hAnsi="Candara"/>
                <w:b/>
                <w:i/>
                <w:sz w:val="24"/>
                <w:szCs w:val="24"/>
              </w:rPr>
              <w:t>ONLINE</w:t>
            </w:r>
            <w:r>
              <w:rPr>
                <w:rFonts w:eastAsia="Arial" w:cs="Arial" w:ascii="Candara" w:hAnsi="Candara"/>
                <w:b/>
                <w:sz w:val="24"/>
                <w:szCs w:val="24"/>
              </w:rPr>
              <w:t>)</w:t>
            </w:r>
          </w:p>
        </w:tc>
      </w:tr>
      <w:tr>
        <w:trPr>
          <w:trHeight w:val="960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Encontros no google meet, com a finalidade de: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i) dar orientações sobre as atividades assíncronas;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ii)  retomar a leitura e discussão de textos indicados antes da suspensão das aulas;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  <w:b w:val="false"/>
                <w:b w:val="false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iii) esclarecer dúvidas sobre os conteúdos trabalhados.</w:t>
            </w:r>
          </w:p>
        </w:tc>
      </w:tr>
      <w:tr>
        <w:trPr>
          <w:trHeight w:val="560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76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ATIVIDADES ASSÍNCRONAS (</w:t>
            </w:r>
            <w:r>
              <w:rPr>
                <w:rFonts w:eastAsia="Arial" w:cs="Arial" w:ascii="Candara" w:hAnsi="Candara"/>
                <w:b/>
                <w:i/>
                <w:sz w:val="24"/>
                <w:szCs w:val="24"/>
              </w:rPr>
              <w:t>OFFLINE</w:t>
            </w:r>
            <w:r>
              <w:rPr>
                <w:rFonts w:eastAsia="Arial" w:cs="Arial" w:ascii="Candara" w:hAnsi="Candara"/>
                <w:b/>
                <w:sz w:val="24"/>
                <w:szCs w:val="24"/>
              </w:rPr>
              <w:t>)</w:t>
            </w:r>
          </w:p>
        </w:tc>
      </w:tr>
      <w:tr>
        <w:trPr>
          <w:trHeight w:val="2430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As atividades assíncronas serão de leitura e produção textual. 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Todos os textos indicados para leitura estão digitalizados e disponíveis para download ou leitura online. 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 w:eastAsia="Arial" w:cs="Arial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Para a produção textual, os estudantes utilizarão o editor de texto oferecido pela google. </w:t>
            </w:r>
          </w:p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 w:eastAsia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eastAsia="Arial" w:cs="Arial" w:ascii="Candara" w:hAnsi="Candara"/>
                <w:b w:val="false"/>
                <w:bCs w:val="false"/>
                <w:color w:val="auto"/>
                <w:kern w:val="0"/>
                <w:sz w:val="24"/>
                <w:szCs w:val="24"/>
                <w:lang w:val="pt-BR" w:eastAsia="pt-BR" w:bidi="ar-SA"/>
              </w:rPr>
              <w:t>Nos arquivos de orientações anexos, estão listados textos e atividades, detalhadamente.</w:t>
            </w:r>
          </w:p>
        </w:tc>
      </w:tr>
      <w:tr>
        <w:trPr>
          <w:trHeight w:val="87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76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RECURSOS DIDÁTICOS/PLATAFORMAS DIGITAIS DE ENSINO UTILIZADAS</w:t>
            </w:r>
          </w:p>
        </w:tc>
      </w:tr>
      <w:tr>
        <w:trPr>
          <w:trHeight w:val="141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Utilizaremos: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plataforma da google (googledocs) para edição de textos e planilhas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plataforma da google (google meet) para encontros síncronos e atendimento dos estudantes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240" w:after="240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e-mail para comunicação direta e assíncrona</w:t>
            </w:r>
          </w:p>
        </w:tc>
      </w:tr>
      <w:tr>
        <w:trPr>
          <w:trHeight w:val="563" w:hRule="atLeast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AVALIAÇÃO</w:t>
            </w:r>
          </w:p>
        </w:tc>
      </w:tr>
      <w:tr>
        <w:trPr>
          <w:trHeight w:val="1948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84" w:after="57"/>
              <w:ind w:left="104" w:hanging="0"/>
              <w:jc w:val="both"/>
              <w:rPr>
                <w:rFonts w:ascii="Candara" w:hAnsi="Candara"/>
                <w:b w:val="false"/>
                <w:b w:val="false"/>
                <w:bCs w:val="false"/>
              </w:rPr>
            </w:pPr>
            <w:r>
              <w:rPr>
                <w:rFonts w:eastAsia="Arial" w:cs="" w:ascii="Candara" w:hAnsi="Candara" w:cstheme="majorBidi"/>
                <w:b w:val="false"/>
                <w:bCs w:val="false"/>
                <w:color w:val="00000A"/>
                <w:kern w:val="2"/>
                <w:sz w:val="24"/>
                <w:szCs w:val="24"/>
                <w:lang w:val="pt-BR" w:eastAsia="ar-SA"/>
              </w:rPr>
              <w:t>A avaliação continuará processual. Atividades de leitura, compreensão e redação já foram propostas e estão em processo de elaboração (releitura e reescrita). Continuaremos orientando as atividades para que o resultado seja satisfatório e o estudante atinja os objetivos definidos para a disciplina.</w:t>
            </w:r>
          </w:p>
        </w:tc>
      </w:tr>
      <w:tr>
        <w:trPr>
          <w:trHeight w:val="54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/>
                <w:sz w:val="24"/>
                <w:szCs w:val="24"/>
              </w:rPr>
              <w:t>BIBLIOGRAFIA</w:t>
            </w:r>
          </w:p>
        </w:tc>
      </w:tr>
      <w:tr>
        <w:trPr>
          <w:trHeight w:val="1055" w:hRule="atLeast"/>
        </w:trPr>
        <w:tc>
          <w:tcPr>
            <w:tcW w:w="85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97" w:after="297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A bibliografia básica, definida para a disciplina, está no plano de ensino original</w:t>
            </w:r>
          </w:p>
          <w:p>
            <w:pPr>
              <w:pStyle w:val="Normal"/>
              <w:spacing w:lineRule="auto" w:line="276" w:before="297" w:after="297"/>
              <w:jc w:val="both"/>
              <w:rPr>
                <w:rFonts w:ascii="Candara" w:hAnsi="Candara"/>
              </w:rPr>
            </w:pPr>
            <w:r>
              <w:rPr>
                <w:rFonts w:eastAsia="Arial" w:cs="Arial" w:ascii="Candara" w:hAnsi="Candara"/>
                <w:b w:val="false"/>
                <w:bCs w:val="false"/>
                <w:sz w:val="24"/>
                <w:szCs w:val="24"/>
              </w:rPr>
              <w:t>Quanto aos textos indicados para leitura, recomenda-se verificar as orientações detalhadas das atividades (arquivo anexo). Lá estão listados todos os textos, vídeos e áudios indicados para leitura ao longo do semestre. A lista é um pouco longa e não convém duplicá-la aqui.</w:t>
            </w:r>
          </w:p>
        </w:tc>
      </w:tr>
    </w:tbl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4"/>
          <w:szCs w:val="24"/>
        </w:rPr>
        <w:t>Salvador, BA, 01 de setembro de 2020</w:t>
      </w:r>
    </w:p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4"/>
          <w:szCs w:val="24"/>
        </w:rPr>
        <w:t>__________________________________________________</w:t>
      </w:r>
    </w:p>
    <w:p>
      <w:pPr>
        <w:pStyle w:val="Normal"/>
        <w:spacing w:lineRule="auto" w:line="240" w:before="240" w:after="240"/>
        <w:jc w:val="center"/>
        <w:rPr>
          <w:rFonts w:ascii="Candara" w:hAnsi="Candara"/>
        </w:rPr>
      </w:pPr>
      <w:r>
        <w:rPr>
          <w:rFonts w:eastAsia="Arial" w:cs="Arial" w:ascii="Candara" w:hAnsi="Candara"/>
          <w:b/>
          <w:sz w:val="24"/>
          <w:szCs w:val="24"/>
        </w:rPr>
        <w:t xml:space="preserve"> </w:t>
      </w:r>
      <w:r>
        <w:rPr>
          <w:rFonts w:eastAsia="Arial" w:cs="Arial" w:ascii="Candara" w:hAnsi="Candara"/>
          <w:b/>
          <w:sz w:val="24"/>
          <w:szCs w:val="24"/>
        </w:rPr>
        <w:t>Docente</w:t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ndar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u w:val="none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b498c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0a4bdb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0a4bdb"/>
    <w:rPr>
      <w:b/>
      <w:bCs/>
      <w:sz w:val="20"/>
      <w:szCs w:val="20"/>
    </w:rPr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/>
    <w:qFormat/>
    <w:rPr>
      <w:sz w:val="20"/>
      <w:szCs w:val="20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db4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b49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rsid w:val="000a4bdb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vgEAeFNfmG6rm4TM1VcwyWvYfgQ==">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</go:docsCustomData>
</go:gDocsCustomXmlDataStorage>
</file>

<file path=customXml/itemProps1.xml><?xml version="1.0" encoding="utf-8"?>
<ds:datastoreItem xmlns:ds="http://schemas.openxmlformats.org/officeDocument/2006/customXml" ds:itemID="{05DB30BC-E1FC-4C9F-ADEA-532D2A586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LibreOffice/6.4.4.2$Windows_X86_64 LibreOffice_project/3d775be2011f3886db32dfd395a6a6d1ca2630ff</Application>
  <Pages>5</Pages>
  <Words>967</Words>
  <Characters>5724</Characters>
  <CharactersWithSpaces>6733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2020-08-29T14:10:00Z</dcterms:created>
  <dc:creator>Nadija</dc:creator>
  <dc:description/>
  <dc:language>pt-BR</dc:language>
  <cp:lastModifiedBy/>
  <dcterms:modified xsi:type="dcterms:W3CDTF">2020-09-06T09:43:23Z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